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DEE" w:rsidRPr="00A15D84" w:rsidRDefault="00C60644" w:rsidP="0018406C">
      <w:pPr>
        <w:spacing w:after="0" w:line="240" w:lineRule="auto"/>
        <w:rPr>
          <w:b/>
        </w:rPr>
      </w:pPr>
      <w:r w:rsidRPr="00A15D84">
        <w:rPr>
          <w:b/>
        </w:rPr>
        <w:t>Table 1</w:t>
      </w:r>
    </w:p>
    <w:p w:rsidR="00A15D84" w:rsidRDefault="00A15D84" w:rsidP="0018406C">
      <w:pPr>
        <w:spacing w:after="0" w:line="240" w:lineRule="auto"/>
      </w:pPr>
      <w:r w:rsidRPr="00A15D84">
        <w:t>Data summary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4590"/>
        <w:gridCol w:w="1980"/>
        <w:gridCol w:w="1818"/>
      </w:tblGrid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>Data series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First observation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Last observation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>
            <w:pPr>
              <w:rPr>
                <w:b/>
                <w:bCs/>
              </w:rPr>
            </w:pPr>
            <w:r w:rsidRPr="002934A1">
              <w:rPr>
                <w:b/>
                <w:bCs/>
              </w:rPr>
              <w:t>Broad Economic Activity Factor</w:t>
            </w:r>
          </w:p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># employees: industrial enterprise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2005m12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2012m12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>Consumer Confidence Index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1990m1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2013m9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>Exports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1992m1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2013m10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>Trade Balance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1992m1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2013m10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 xml:space="preserve">Import </w:t>
            </w:r>
            <w:proofErr w:type="spellStart"/>
            <w:r w:rsidRPr="002934A1">
              <w:t>sitc</w:t>
            </w:r>
            <w:proofErr w:type="spellEnd"/>
            <w:r w:rsidRPr="002934A1">
              <w:t xml:space="preserve">: MF: Petroleum, Petroleum </w:t>
            </w:r>
            <w:proofErr w:type="spellStart"/>
            <w:r w:rsidRPr="002934A1">
              <w:t>Pdt</w:t>
            </w:r>
            <w:proofErr w:type="spellEnd"/>
            <w:r w:rsidRPr="002934A1">
              <w:t xml:space="preserve"> &amp; Related Material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1994m1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2013m9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>Foreign Reserve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1989m1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2013m9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>FX Rate: PBOC: Month End: RMB to USD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1994m1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2013m10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>Fixed Asset Investment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1994m1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2013m10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>FAI:: New Construction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1999m8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2013m10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>FAI:: Equipment Purchase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2004m1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2013m10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 xml:space="preserve">PMI: Non </w:t>
            </w:r>
            <w:proofErr w:type="spellStart"/>
            <w:r w:rsidRPr="002934A1">
              <w:t>Mfg</w:t>
            </w:r>
            <w:proofErr w:type="spellEnd"/>
            <w:r w:rsidRPr="002934A1">
              <w:t>: Business Activity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2007m1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2013m10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>Index: Shanghai Stock Exchange: Composite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1990m12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2013m10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>Index: Shenzhen Stock Exchange: Composite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1991m4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2013m10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>Index: Shanghai Shenzhen 300 Index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2005m4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2013m10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>PE Ratio: Shanghai SE: All Share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1996m8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2013m10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>PE Ratio: Shenzhen SE: All Share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1994m1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2013m10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>Real Estate Climate Index (RECI)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2004m1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2013m10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>Electricity consumption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2002m12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2013m9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>Electricity production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1996m1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2013m9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>Rail freight traffic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1998m8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2013m9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>Real Estate Investment: Residential Building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1995m12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2013m9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>Crude steel production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2001m1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2013m9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>Trucks sales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2005m1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2013m9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>Purchasing Managers' Index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2005m1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2013m9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 xml:space="preserve">PMI: </w:t>
            </w:r>
            <w:proofErr w:type="spellStart"/>
            <w:r w:rsidRPr="002934A1">
              <w:t>Mfg</w:t>
            </w:r>
            <w:proofErr w:type="spellEnd"/>
            <w:r w:rsidRPr="002934A1">
              <w:t>: New Export Order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2005m1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2013m9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>Consumer Expectation Index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1990m1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2013m9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>Floor Space Started: Commodity Building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1995m12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2013m9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>Retail Sales of Consumer Goods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1990m1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2013m9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>Industrial production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1995m1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2013m9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>Gas consumption index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2003m1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2013m3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/>
        </w:tc>
        <w:tc>
          <w:tcPr>
            <w:tcW w:w="1980" w:type="dxa"/>
            <w:noWrap/>
            <w:hideMark/>
          </w:tcPr>
          <w:p w:rsidR="00C60644" w:rsidRPr="002934A1" w:rsidRDefault="00C60644" w:rsidP="0018406C"/>
        </w:tc>
        <w:tc>
          <w:tcPr>
            <w:tcW w:w="1818" w:type="dxa"/>
            <w:noWrap/>
            <w:hideMark/>
          </w:tcPr>
          <w:p w:rsidR="00C60644" w:rsidRPr="002934A1" w:rsidRDefault="00C60644" w:rsidP="0018406C"/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>
            <w:pPr>
              <w:rPr>
                <w:b/>
                <w:bCs/>
              </w:rPr>
            </w:pPr>
            <w:r w:rsidRPr="002934A1">
              <w:rPr>
                <w:b/>
                <w:bCs/>
              </w:rPr>
              <w:t>Narrow Economic Activity Factor</w:t>
            </w:r>
          </w:p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>Exports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1992m1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2013m10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>Electricity production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1996m1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2013m9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>Floor Space Started: Commodity Building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1995m12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2013m9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/>
        </w:tc>
        <w:tc>
          <w:tcPr>
            <w:tcW w:w="1980" w:type="dxa"/>
            <w:noWrap/>
            <w:hideMark/>
          </w:tcPr>
          <w:p w:rsidR="00C60644" w:rsidRPr="002934A1" w:rsidRDefault="00C60644" w:rsidP="0018406C"/>
        </w:tc>
        <w:tc>
          <w:tcPr>
            <w:tcW w:w="1818" w:type="dxa"/>
            <w:noWrap/>
            <w:hideMark/>
          </w:tcPr>
          <w:p w:rsidR="00C60644" w:rsidRPr="002934A1" w:rsidRDefault="00C60644" w:rsidP="0018406C"/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>
            <w:pPr>
              <w:rPr>
                <w:b/>
                <w:bCs/>
              </w:rPr>
            </w:pPr>
            <w:r w:rsidRPr="002934A1">
              <w:rPr>
                <w:b/>
                <w:bCs/>
              </w:rPr>
              <w:t>Price Factor</w:t>
            </w:r>
          </w:p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>Consumer Price Index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1995m1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2013m10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>CPI Core (excl. Food &amp; Energy)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2006m1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2013m10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>CPI Food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1995m1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2013m10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>Consumer Price Index: 36 City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2002m1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2013m9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/>
        </w:tc>
        <w:tc>
          <w:tcPr>
            <w:tcW w:w="1980" w:type="dxa"/>
            <w:noWrap/>
            <w:hideMark/>
          </w:tcPr>
          <w:p w:rsidR="00C60644" w:rsidRPr="002934A1" w:rsidRDefault="00C60644" w:rsidP="0018406C"/>
        </w:tc>
        <w:tc>
          <w:tcPr>
            <w:tcW w:w="1818" w:type="dxa"/>
            <w:noWrap/>
            <w:hideMark/>
          </w:tcPr>
          <w:p w:rsidR="00C60644" w:rsidRPr="002934A1" w:rsidRDefault="00C60644" w:rsidP="0018406C"/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>
            <w:pPr>
              <w:rPr>
                <w:b/>
                <w:bCs/>
              </w:rPr>
            </w:pPr>
            <w:r w:rsidRPr="002934A1">
              <w:rPr>
                <w:b/>
                <w:bCs/>
              </w:rPr>
              <w:t>Policy Variables</w:t>
            </w:r>
          </w:p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proofErr w:type="spellStart"/>
            <w:r w:rsidRPr="002934A1">
              <w:t>Govt</w:t>
            </w:r>
            <w:proofErr w:type="spellEnd"/>
            <w:r w:rsidRPr="002934A1">
              <w:t xml:space="preserve"> Expenditure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1995m1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2013m9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>Money Supply M2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1997m1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2013m10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>Required Reserve Ratio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1985m1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2013m10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>Central Bank Benchmark Interest Rate: Loans less than 20 days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1993m5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2013m10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>Loans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1997m1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2013m9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/>
        </w:tc>
        <w:tc>
          <w:tcPr>
            <w:tcW w:w="1980" w:type="dxa"/>
            <w:noWrap/>
            <w:hideMark/>
          </w:tcPr>
          <w:p w:rsidR="00C60644" w:rsidRPr="002934A1" w:rsidRDefault="00C60644" w:rsidP="0018406C"/>
        </w:tc>
        <w:tc>
          <w:tcPr>
            <w:tcW w:w="1818" w:type="dxa"/>
            <w:noWrap/>
            <w:hideMark/>
          </w:tcPr>
          <w:p w:rsidR="00C60644" w:rsidRPr="002934A1" w:rsidRDefault="00C60644" w:rsidP="0018406C"/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>
            <w:pPr>
              <w:rPr>
                <w:b/>
                <w:bCs/>
              </w:rPr>
            </w:pPr>
            <w:r w:rsidRPr="002934A1">
              <w:rPr>
                <w:b/>
                <w:bCs/>
              </w:rPr>
              <w:t>Other</w:t>
            </w:r>
          </w:p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>US Industrial production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1985m1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2013m11</w:t>
            </w:r>
          </w:p>
        </w:tc>
      </w:tr>
      <w:tr w:rsidR="00C60644" w:rsidRPr="002934A1" w:rsidTr="00581DDA">
        <w:trPr>
          <w:trHeight w:val="300"/>
        </w:trPr>
        <w:tc>
          <w:tcPr>
            <w:tcW w:w="1188" w:type="dxa"/>
            <w:noWrap/>
            <w:hideMark/>
          </w:tcPr>
          <w:p w:rsidR="00C60644" w:rsidRPr="002934A1" w:rsidRDefault="00C60644" w:rsidP="0018406C"/>
        </w:tc>
        <w:tc>
          <w:tcPr>
            <w:tcW w:w="4590" w:type="dxa"/>
            <w:noWrap/>
            <w:hideMark/>
          </w:tcPr>
          <w:p w:rsidR="00C60644" w:rsidRPr="002934A1" w:rsidRDefault="00C60644" w:rsidP="0018406C">
            <w:r w:rsidRPr="002934A1">
              <w:t>Commodity prices</w:t>
            </w:r>
          </w:p>
        </w:tc>
        <w:tc>
          <w:tcPr>
            <w:tcW w:w="1980" w:type="dxa"/>
            <w:noWrap/>
            <w:hideMark/>
          </w:tcPr>
          <w:p w:rsidR="00C60644" w:rsidRPr="002934A1" w:rsidRDefault="00C60644" w:rsidP="0018406C">
            <w:r w:rsidRPr="002934A1">
              <w:t>1991m1</w:t>
            </w:r>
          </w:p>
        </w:tc>
        <w:tc>
          <w:tcPr>
            <w:tcW w:w="1818" w:type="dxa"/>
            <w:noWrap/>
            <w:hideMark/>
          </w:tcPr>
          <w:p w:rsidR="00C60644" w:rsidRPr="002934A1" w:rsidRDefault="00C60644" w:rsidP="0018406C">
            <w:r w:rsidRPr="002934A1">
              <w:t>2013m12</w:t>
            </w:r>
          </w:p>
        </w:tc>
      </w:tr>
    </w:tbl>
    <w:p w:rsidR="00C60644" w:rsidRPr="002934A1" w:rsidRDefault="00C60644" w:rsidP="0018406C">
      <w:pPr>
        <w:spacing w:after="0" w:line="240" w:lineRule="auto"/>
      </w:pPr>
      <w:r>
        <w:t>Note</w:t>
      </w:r>
      <w:r w:rsidR="00D71DC0">
        <w:t>s</w:t>
      </w:r>
      <w:r>
        <w:t xml:space="preserve">: US Industrial Production and Commodity Prices were downloaded from </w:t>
      </w:r>
      <w:proofErr w:type="spellStart"/>
      <w:r>
        <w:t>Haver</w:t>
      </w:r>
      <w:proofErr w:type="spellEnd"/>
      <w:r>
        <w:t>. All other variables were downloaded from the CEIC Asia database.</w:t>
      </w:r>
    </w:p>
    <w:p w:rsidR="00C60644" w:rsidRPr="00C60644" w:rsidRDefault="00C60644" w:rsidP="0018406C">
      <w:pPr>
        <w:spacing w:after="0" w:line="240" w:lineRule="auto"/>
      </w:pPr>
      <w:bookmarkStart w:id="0" w:name="_GoBack"/>
      <w:bookmarkEnd w:id="0"/>
    </w:p>
    <w:sectPr w:rsidR="00C60644" w:rsidRPr="00C606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89A"/>
    <w:rsid w:val="00017DBF"/>
    <w:rsid w:val="00081615"/>
    <w:rsid w:val="0018406C"/>
    <w:rsid w:val="002934A1"/>
    <w:rsid w:val="002F165D"/>
    <w:rsid w:val="006246B3"/>
    <w:rsid w:val="006374C3"/>
    <w:rsid w:val="0070789A"/>
    <w:rsid w:val="00735A33"/>
    <w:rsid w:val="007B6DEE"/>
    <w:rsid w:val="008557CA"/>
    <w:rsid w:val="00912972"/>
    <w:rsid w:val="00A15D84"/>
    <w:rsid w:val="00A66E78"/>
    <w:rsid w:val="00B07CAE"/>
    <w:rsid w:val="00C60644"/>
    <w:rsid w:val="00CD4EE7"/>
    <w:rsid w:val="00D71DC0"/>
    <w:rsid w:val="00E65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5A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5A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5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336</Words>
  <Characters>1919</Characters>
  <Application>Microsoft Office Word</Application>
  <DocSecurity>0</DocSecurity>
  <Lines>15</Lines>
  <Paragraphs>4</Paragraphs>
  <ScaleCrop>false</ScaleCrop>
  <Company>Federal Reserve System</Company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Hsu</dc:creator>
  <cp:keywords/>
  <dc:description/>
  <cp:lastModifiedBy>Eric Hsu</cp:lastModifiedBy>
  <cp:revision>20</cp:revision>
  <dcterms:created xsi:type="dcterms:W3CDTF">2013-12-02T18:19:00Z</dcterms:created>
  <dcterms:modified xsi:type="dcterms:W3CDTF">2014-02-20T18:51:00Z</dcterms:modified>
</cp:coreProperties>
</file>